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-158" w:right="-158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市国资委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年度政府信息公开工作报告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本年度报告根据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(国务院令第711号)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和抚顺市政务公开工作领导小组办公室《关于做好2020年度政府信息公开工作报告编制发布工作的通知》要求，市国资委编制2020年度政府信息公开工作报告。报告中所列数据的统计期限为2020年1月1日至2020年12月31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一、总体情况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333333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、加强国资国企信息公开工作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　　按照市政务公开办要求，市国资委进一步明确了市属国有及国有控股企业信息公开内容、分管领导、责任处室，保证了国有企业信息按规定公开。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2、进一步强化信息发布规范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按政务公开办要求，市国资委逐步完善网站信息公开平台共性栏目设置，并对所发布信息的字体、字号、格式等内容按照政府网站栏目发布规范要求进行调整。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333333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、明确任务，落实责任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333333"/>
          <w:sz w:val="32"/>
          <w:szCs w:val="32"/>
        </w:rPr>
        <w:t>　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依据国资委工作职责，按照“谁主管、谁负责”的原则，实行政务公开工作责任制，委内各科室负责人作为本科室政务公开工作的责任人，按照工作职责、公开内容、公开依据、公开程序、公开时限等要求，切实抓好本科室职责范围内的政务公开工作。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、规范程序，强化考核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333333"/>
          <w:sz w:val="32"/>
          <w:szCs w:val="32"/>
        </w:rPr>
        <w:t>　　一是按照委政务公开规定，规范工作程序和信息发布审批制度。为保证国资委政务信息的真实性、准确性和及时性，公开信息内容由各相关科室提出，并填写《市国资委对外发布信息审批表》，由科室负责人审核签字后，再报分管领导审批，由办公室发布。对委重大（或重要）信息的发布，还须委主要领导审批。二是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将各科室发布信息量定期通报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,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作为个人年度评定标准参考项。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333333"/>
          <w:sz w:val="32"/>
          <w:szCs w:val="32"/>
        </w:rPr>
        <w:t>　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5、主动公开情况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</w:rPr>
        <w:br w:type="textWrapping"/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市国资委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主动公开各类政务信息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445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条，其中：机构设置中内设机构1条，政策文件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条、政策解读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条，国资监管中国资要闻260条、重要会议5条、政务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条、建议提案办理1条，党建工作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条，国企信息中国企运营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条、国企改革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条，国有产权交易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条，办事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指南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信息留言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3条，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财政信息3条，通知公告8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条，图片新闻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条，企业资讯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条。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ascii="等线" w:hAnsi="等线" w:eastAsia="等线" w:cs="等线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6"/>
        <w:tblW w:w="814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8"/>
        <w:gridCol w:w="1875"/>
        <w:gridCol w:w="6"/>
        <w:gridCol w:w="1265"/>
        <w:gridCol w:w="18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 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 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 w:firstLine="20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6"/>
        <w:tblW w:w="90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487"/>
        <w:gridCol w:w="416"/>
        <w:gridCol w:w="755"/>
        <w:gridCol w:w="755"/>
        <w:gridCol w:w="813"/>
        <w:gridCol w:w="974"/>
        <w:gridCol w:w="711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right="0" w:firstLine="320" w:firstLineChars="10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6"/>
        <w:tblW w:w="90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6"/>
        <w:gridCol w:w="606"/>
        <w:gridCol w:w="607"/>
        <w:gridCol w:w="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00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五、存在的主要问题及改进措施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3"/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存在问题：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市国资委的主要职责是依据市政府授权，依法履行国有出资人职责。因没有公共服务、社会管理职能和行政权力，监管对象是市属国家出资企业，导致信息渠道来源窄，信息种类相对单一，可公开信息内容相对较少。2、信息发布不够及时，政务发布方式单一，交流互动相对较少，子栏目信息有待完善等诸多问题和不足。3、历史发布信息中有错别字表述的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3"/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改进情况：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针对存在的问题，我委将加大工作力度，创新工作机制，努力提高政务信息公开的数量和质量。一方面以国资委网站为依托，按照《抚顺市国资委政务公开目录》落实责任，保证政务信息公开按规定公开。另一方面紧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围绕深化国资国企改革和加强国资监管，进一步拓宽信息渠道，积极督促企业，增加信息数量，确保网站公开信息达到国家规定要求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2、提高思想认识，达到更高办网标准，以加快信息流为重要举措，查漏补缺，日更日新，严格信息审批程序、缩短信息发布周期，力争将政务信息公开工作提升到新高度。3、加强网页信息发布规范，对以往错误及时更正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left="643" w:leftChars="0" w:right="0" w:rightChars="0"/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/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510" w:lineRule="atLeast"/>
        <w:ind w:right="-158" w:firstLine="640" w:firstLineChars="200"/>
        <w:rPr>
          <w:rFonts w:hint="eastAsia" w:ascii="仿宋" w:hAnsi="仿宋" w:eastAsia="仿宋" w:cs="仿宋"/>
          <w:b w:val="0"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510" w:lineRule="atLeast"/>
        <w:ind w:right="-158" w:firstLine="640" w:firstLineChars="200"/>
        <w:jc w:val="center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市国资委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510" w:lineRule="atLeast"/>
        <w:ind w:right="-158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2021年1月20日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br w:type="textWrapping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000B2"/>
    <w:rsid w:val="1B2000B2"/>
    <w:rsid w:val="292D5039"/>
    <w:rsid w:val="29794135"/>
    <w:rsid w:val="47A337EC"/>
    <w:rsid w:val="49805DDA"/>
    <w:rsid w:val="4C8457E6"/>
    <w:rsid w:val="56612E5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2021-01-20T03:22:00Z</dcterms:created>
  <dc:creator>Administrator</dc:creator>
  <cp:lastModifiedBy>Administrator</cp:lastModifiedBy>
  <cp:lastPrinted>2021-01-20T07:38:00Z</cp:lastPrinted>
  <dcterms:modified xsi:type="dcterms:W3CDTF">2021-01-21T02:54:13Z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